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A2219" w:rsidRPr="00DA2219" w:rsidRDefault="00201EF9" w:rsidP="00DA2219">
      <w:pPr>
        <w:jc w:val="center"/>
        <w:rPr>
          <w:b/>
          <w:szCs w:val="22"/>
        </w:rPr>
      </w:pPr>
      <w:r w:rsidRPr="00DA2219">
        <w:rPr>
          <w:b/>
        </w:rPr>
        <w:t>«</w:t>
      </w:r>
      <w:r w:rsidR="00C83566">
        <w:rPr>
          <w:b/>
          <w:bCs/>
          <w:color w:val="000000"/>
          <w:szCs w:val="22"/>
        </w:rPr>
        <w:t>Κατακύρωση δημοπρασία</w:t>
      </w:r>
      <w:r w:rsidR="008E1F9D">
        <w:rPr>
          <w:b/>
          <w:bCs/>
          <w:color w:val="000000"/>
          <w:szCs w:val="22"/>
        </w:rPr>
        <w:t>ς</w:t>
      </w:r>
      <w:r w:rsidR="00C83566">
        <w:rPr>
          <w:b/>
          <w:bCs/>
          <w:color w:val="000000"/>
          <w:szCs w:val="22"/>
        </w:rPr>
        <w:t xml:space="preserve"> μίσθωσης ακινήτου για τις ανάγκες στέγασης των υπηρεσιών της Δημοτικής Κοινότητας </w:t>
      </w:r>
      <w:proofErr w:type="spellStart"/>
      <w:r w:rsidR="00C83566">
        <w:rPr>
          <w:b/>
          <w:bCs/>
          <w:color w:val="000000"/>
          <w:szCs w:val="22"/>
        </w:rPr>
        <w:t>Αντιμάχειας</w:t>
      </w:r>
      <w:proofErr w:type="spellEnd"/>
      <w:r w:rsidR="00DA2219" w:rsidRPr="00DA2219">
        <w:rPr>
          <w:b/>
          <w:bCs/>
          <w:szCs w:val="22"/>
        </w:rPr>
        <w:t>»</w:t>
      </w:r>
    </w:p>
    <w:p w:rsidR="00201EF9" w:rsidRPr="00FB09AC" w:rsidRDefault="00DA2219" w:rsidP="00201EF9">
      <w:pPr>
        <w:jc w:val="center"/>
      </w:pPr>
      <w:r w:rsidRPr="00DA2219">
        <w:rPr>
          <w:b/>
          <w:szCs w:val="22"/>
        </w:rPr>
        <w:t xml:space="preserve"> </w:t>
      </w:r>
      <w:r w:rsidR="00201EF9" w:rsidRPr="0035799B">
        <w:rPr>
          <w:b/>
          <w:bCs/>
          <w:szCs w:val="22"/>
        </w:rPr>
        <w:t xml:space="preserve"> </w:t>
      </w:r>
      <w:r w:rsidR="00201EF9">
        <w:rPr>
          <w:b/>
        </w:rPr>
        <w:t xml:space="preserve"> </w:t>
      </w: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Look w:val="04A0"/>
      </w:tblPr>
      <w:tblGrid>
        <w:gridCol w:w="4614"/>
        <w:gridCol w:w="4614"/>
      </w:tblGrid>
      <w:tr w:rsidR="008D0C72" w:rsidRPr="006660A5" w:rsidTr="006660A5">
        <w:tc>
          <w:tcPr>
            <w:tcW w:w="4614" w:type="dxa"/>
          </w:tcPr>
          <w:p w:rsidR="008D0C72" w:rsidRPr="006660A5" w:rsidRDefault="008D0C72" w:rsidP="001E6D74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1E6D74">
            <w:pPr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6660A5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1E6D74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Σιφάκης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1E6D74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1E6D74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EA160A">
      <w:pPr>
        <w:pStyle w:val="aa"/>
        <w:ind w:left="0"/>
        <w:jc w:val="both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</w:t>
      </w:r>
      <w:r w:rsidR="00EA160A">
        <w:t xml:space="preserve">Ν. </w:t>
      </w:r>
      <w:r w:rsidR="00F5677C" w:rsidRPr="00FB09AC">
        <w:t xml:space="preserve">3852/2010.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</w:t>
      </w:r>
      <w:r w:rsidR="00F03A3D"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t xml:space="preserve">ΘΕΜΑ </w:t>
      </w:r>
      <w:r w:rsidR="00231882">
        <w:t>7</w:t>
      </w:r>
      <w:r w:rsidRPr="000B4D78">
        <w:rPr>
          <w:vertAlign w:val="superscript"/>
        </w:rPr>
        <w:t>ο</w:t>
      </w:r>
      <w:r>
        <w:t xml:space="preserve"> </w:t>
      </w:r>
      <w:r w:rsidRPr="00201EF9">
        <w:t xml:space="preserve"> </w:t>
      </w:r>
    </w:p>
    <w:p w:rsidR="00201EF9" w:rsidRPr="00CF1D4C" w:rsidRDefault="00201EF9" w:rsidP="00201EF9">
      <w:pPr>
        <w:pStyle w:val="3"/>
        <w:ind w:firstLine="0"/>
      </w:pPr>
      <w:r w:rsidRPr="00CF1D4C">
        <w:t xml:space="preserve">ΑΡ. ΑΠΟΦ. : </w:t>
      </w:r>
      <w:r w:rsidR="00C02ECF">
        <w:t>1</w:t>
      </w:r>
      <w:r w:rsidR="00FE6ADC">
        <w:t>4</w:t>
      </w:r>
      <w:r w:rsidR="00231882">
        <w:t>3</w:t>
      </w:r>
    </w:p>
    <w:p w:rsidR="001E6D74" w:rsidRPr="00D75C3E" w:rsidRDefault="00201EF9" w:rsidP="00841ACA">
      <w:pPr>
        <w:jc w:val="both"/>
      </w:pPr>
      <w:r w:rsidRPr="00E371D0">
        <w:t xml:space="preserve">     </w:t>
      </w:r>
      <w:r>
        <w:t xml:space="preserve">  </w:t>
      </w:r>
      <w:r w:rsidRPr="00D75C3E">
        <w:t xml:space="preserve">Ο  Πρόεδρος  εισηγούμενος το </w:t>
      </w:r>
      <w:r w:rsidR="00841ACA" w:rsidRPr="00D75C3E">
        <w:t>7</w:t>
      </w:r>
      <w:r w:rsidRPr="00D75C3E">
        <w:rPr>
          <w:vertAlign w:val="superscript"/>
        </w:rPr>
        <w:t>ο</w:t>
      </w:r>
      <w:r w:rsidR="00F03A3D" w:rsidRPr="00D75C3E">
        <w:t xml:space="preserve"> θέμα </w:t>
      </w:r>
      <w:r w:rsidRPr="00D75C3E">
        <w:t xml:space="preserve">της ημερήσιας διάταξης </w:t>
      </w:r>
      <w:r w:rsidR="00841ACA" w:rsidRPr="00D75C3E">
        <w:t xml:space="preserve"> </w:t>
      </w:r>
      <w:r w:rsidR="004C0315" w:rsidRPr="00D75C3E">
        <w:t xml:space="preserve">εξέθεσε ότι: </w:t>
      </w:r>
    </w:p>
    <w:p w:rsidR="004C0315" w:rsidRPr="00D75C3E" w:rsidRDefault="004C0315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D75C3E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D75C3E">
        <w:rPr>
          <w:rFonts w:ascii="Times New Roman" w:hAnsi="Times New Roman"/>
          <w:color w:val="auto"/>
          <w:sz w:val="24"/>
        </w:rPr>
        <w:t>αριθμ</w:t>
      </w:r>
      <w:proofErr w:type="spellEnd"/>
      <w:r w:rsidRPr="00D75C3E">
        <w:rPr>
          <w:rFonts w:ascii="Times New Roman" w:hAnsi="Times New Roman"/>
          <w:color w:val="auto"/>
          <w:sz w:val="24"/>
        </w:rPr>
        <w:t xml:space="preserve">. 294/06-11-2013 απόφαση του Δ.Σ. εγκρίθηκε η μίσθωση χώρου για στέγαση των υπηρεσιών της Δημοτικής Κοινότητας </w:t>
      </w:r>
      <w:proofErr w:type="spellStart"/>
      <w:r w:rsidRPr="00D75C3E">
        <w:rPr>
          <w:rFonts w:ascii="Times New Roman" w:hAnsi="Times New Roman"/>
          <w:color w:val="auto"/>
          <w:sz w:val="24"/>
        </w:rPr>
        <w:t>Αντιμάχειας</w:t>
      </w:r>
      <w:proofErr w:type="spellEnd"/>
      <w:r w:rsidRPr="00D75C3E">
        <w:rPr>
          <w:rFonts w:ascii="Times New Roman" w:hAnsi="Times New Roman"/>
          <w:color w:val="auto"/>
          <w:sz w:val="24"/>
        </w:rPr>
        <w:t>.</w:t>
      </w:r>
    </w:p>
    <w:p w:rsidR="004C0315" w:rsidRDefault="004C0315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D75C3E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D75C3E">
        <w:rPr>
          <w:rFonts w:ascii="Times New Roman" w:hAnsi="Times New Roman"/>
          <w:color w:val="auto"/>
          <w:sz w:val="24"/>
        </w:rPr>
        <w:t>αριθμ</w:t>
      </w:r>
      <w:proofErr w:type="spellEnd"/>
      <w:r w:rsidRPr="00D75C3E">
        <w:rPr>
          <w:rFonts w:ascii="Times New Roman" w:hAnsi="Times New Roman"/>
          <w:color w:val="auto"/>
          <w:sz w:val="24"/>
        </w:rPr>
        <w:t>. 334/</w:t>
      </w:r>
      <w:r w:rsidR="00FC2D3E">
        <w:rPr>
          <w:rFonts w:ascii="Times New Roman" w:hAnsi="Times New Roman"/>
          <w:color w:val="auto"/>
          <w:sz w:val="24"/>
        </w:rPr>
        <w:t xml:space="preserve">04-12-2013 απόφαση της Οικονομικής Επιτροπής εγκρίθηκαν οι </w:t>
      </w:r>
      <w:r w:rsidR="003E0F91">
        <w:rPr>
          <w:rFonts w:ascii="Times New Roman" w:hAnsi="Times New Roman"/>
          <w:color w:val="auto"/>
          <w:sz w:val="24"/>
        </w:rPr>
        <w:t>όροι διακήρυξης του μειοδοτικού διαγωνισμού.</w:t>
      </w:r>
    </w:p>
    <w:p w:rsidR="003E0F91" w:rsidRDefault="003E0F91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Την 19-12-2013 εκδόθηκε η σχετική διακήρυξη Δημάρχου, η οποία έλαβε Α.Π. 48481/19-12-2013.</w:t>
      </w:r>
    </w:p>
    <w:p w:rsidR="003E0F91" w:rsidRDefault="003E0F91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Στην διακήρυξη-πρόσκληση ανταποκρίθηκε μία μόνο ενδιαφερόμενη, ήτοι η </w:t>
      </w:r>
      <w:proofErr w:type="spellStart"/>
      <w:r>
        <w:rPr>
          <w:rFonts w:ascii="Times New Roman" w:hAnsi="Times New Roman"/>
          <w:color w:val="auto"/>
          <w:sz w:val="24"/>
        </w:rPr>
        <w:t>Τσαγγάρη</w:t>
      </w:r>
      <w:proofErr w:type="spellEnd"/>
      <w:r>
        <w:rPr>
          <w:rFonts w:ascii="Times New Roman" w:hAnsi="Times New Roman"/>
          <w:color w:val="auto"/>
          <w:sz w:val="24"/>
        </w:rPr>
        <w:t xml:space="preserve"> Χρυσή</w:t>
      </w:r>
      <w:r w:rsidR="00F93744">
        <w:rPr>
          <w:rFonts w:ascii="Times New Roman" w:hAnsi="Times New Roman"/>
          <w:color w:val="auto"/>
          <w:sz w:val="24"/>
        </w:rPr>
        <w:t xml:space="preserve">, η οποία προσέφερε ακίνητο στην περιοχή της </w:t>
      </w:r>
      <w:proofErr w:type="spellStart"/>
      <w:r w:rsidR="00F93744">
        <w:rPr>
          <w:rFonts w:ascii="Times New Roman" w:hAnsi="Times New Roman"/>
          <w:color w:val="auto"/>
          <w:sz w:val="24"/>
        </w:rPr>
        <w:t>Αντιμάχειας</w:t>
      </w:r>
      <w:proofErr w:type="spellEnd"/>
      <w:r w:rsidR="00B801BB">
        <w:rPr>
          <w:rFonts w:ascii="Times New Roman" w:hAnsi="Times New Roman"/>
          <w:color w:val="auto"/>
          <w:sz w:val="24"/>
        </w:rPr>
        <w:t>,</w:t>
      </w:r>
      <w:r w:rsidR="00F93744">
        <w:rPr>
          <w:rFonts w:ascii="Times New Roman" w:hAnsi="Times New Roman"/>
          <w:color w:val="auto"/>
          <w:sz w:val="24"/>
        </w:rPr>
        <w:t xml:space="preserve"> συνολικού εμβαδού 40 </w:t>
      </w:r>
      <w:proofErr w:type="spellStart"/>
      <w:r w:rsidR="00F93744">
        <w:rPr>
          <w:rFonts w:ascii="Times New Roman" w:hAnsi="Times New Roman"/>
          <w:color w:val="auto"/>
          <w:sz w:val="24"/>
        </w:rPr>
        <w:t>τ.μ</w:t>
      </w:r>
      <w:proofErr w:type="spellEnd"/>
      <w:r w:rsidR="00F93744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>.</w:t>
      </w:r>
    </w:p>
    <w:p w:rsidR="0060688D" w:rsidRPr="00F93744" w:rsidRDefault="007E370A" w:rsidP="00F93744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Με την Α.Π. 463εξ./27-02-2014 έκθεση της Επιτροπής Εκτίμησης Ακινήτων</w:t>
      </w:r>
      <w:r w:rsidR="002E2976">
        <w:rPr>
          <w:rFonts w:ascii="Times New Roman" w:hAnsi="Times New Roman"/>
          <w:color w:val="auto"/>
          <w:sz w:val="24"/>
        </w:rPr>
        <w:t>,</w:t>
      </w:r>
      <w:r w:rsidR="00E341D7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το προσφερόμενο ακίνητο βρέθηκε κατάλληλο </w:t>
      </w:r>
      <w:r w:rsidR="007C73B0">
        <w:rPr>
          <w:rFonts w:ascii="Times New Roman" w:hAnsi="Times New Roman"/>
          <w:color w:val="auto"/>
          <w:sz w:val="24"/>
        </w:rPr>
        <w:t>για να</w:t>
      </w:r>
      <w:r w:rsidR="002E2976">
        <w:rPr>
          <w:rFonts w:ascii="Times New Roman" w:hAnsi="Times New Roman"/>
          <w:color w:val="auto"/>
          <w:sz w:val="24"/>
        </w:rPr>
        <w:t xml:space="preserve"> μισθωθεί από το Δήμο.</w:t>
      </w:r>
    </w:p>
    <w:p w:rsidR="002E2976" w:rsidRDefault="0060688D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Την </w:t>
      </w:r>
      <w:r w:rsidR="00BC5D32"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 xml:space="preserve">8-04-2014 </w:t>
      </w:r>
      <w:r w:rsidR="00BC5D32">
        <w:rPr>
          <w:rFonts w:ascii="Times New Roman" w:hAnsi="Times New Roman"/>
          <w:color w:val="auto"/>
          <w:sz w:val="24"/>
        </w:rPr>
        <w:t xml:space="preserve">(Α.Π. πρακτικού 14647/28-04-2014) </w:t>
      </w:r>
      <w:r>
        <w:rPr>
          <w:rFonts w:ascii="Times New Roman" w:hAnsi="Times New Roman"/>
          <w:color w:val="auto"/>
          <w:sz w:val="24"/>
        </w:rPr>
        <w:t>διενεργήθηκε η δημοπρασία</w:t>
      </w:r>
      <w:r w:rsidR="00F93744">
        <w:rPr>
          <w:rFonts w:ascii="Times New Roman" w:hAnsi="Times New Roman"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στην οποία κλήθηκε</w:t>
      </w:r>
      <w:r w:rsidR="00F93744">
        <w:rPr>
          <w:rFonts w:ascii="Times New Roman" w:hAnsi="Times New Roman"/>
          <w:color w:val="auto"/>
          <w:sz w:val="24"/>
        </w:rPr>
        <w:t xml:space="preserve"> (με την Α.Π. 12892/11-04-2014 πρόσκληση Δημάρχου)</w:t>
      </w:r>
      <w:r>
        <w:rPr>
          <w:rFonts w:ascii="Times New Roman" w:hAnsi="Times New Roman"/>
          <w:color w:val="auto"/>
          <w:sz w:val="24"/>
        </w:rPr>
        <w:t xml:space="preserve"> και συμμετείχε η </w:t>
      </w:r>
      <w:r w:rsidR="00F93744">
        <w:rPr>
          <w:rFonts w:ascii="Times New Roman" w:hAnsi="Times New Roman"/>
          <w:color w:val="auto"/>
          <w:sz w:val="24"/>
        </w:rPr>
        <w:t>ενδιαφερόμενη</w:t>
      </w:r>
      <w:r>
        <w:rPr>
          <w:rFonts w:ascii="Times New Roman" w:hAnsi="Times New Roman"/>
          <w:color w:val="auto"/>
          <w:sz w:val="24"/>
        </w:rPr>
        <w:t xml:space="preserve"> ιδιοκτήτρια και η οποία προσέφερε ως μηνιαίο μίσθωμα το ποσό των </w:t>
      </w:r>
      <w:r w:rsidR="00F93744">
        <w:rPr>
          <w:rFonts w:ascii="Times New Roman" w:hAnsi="Times New Roman"/>
          <w:color w:val="auto"/>
          <w:sz w:val="24"/>
        </w:rPr>
        <w:t>7,50 €/</w:t>
      </w:r>
      <w:proofErr w:type="spellStart"/>
      <w:r w:rsidR="00F93744">
        <w:rPr>
          <w:rFonts w:ascii="Times New Roman" w:hAnsi="Times New Roman"/>
          <w:color w:val="auto"/>
          <w:sz w:val="24"/>
        </w:rPr>
        <w:t>τ.μ</w:t>
      </w:r>
      <w:proofErr w:type="spellEnd"/>
      <w:r w:rsidR="00F93744">
        <w:rPr>
          <w:rFonts w:ascii="Times New Roman" w:hAnsi="Times New Roman"/>
          <w:color w:val="auto"/>
          <w:sz w:val="24"/>
        </w:rPr>
        <w:t>.</w:t>
      </w:r>
      <w:r w:rsidR="002E2976">
        <w:rPr>
          <w:rFonts w:ascii="Times New Roman" w:hAnsi="Times New Roman"/>
          <w:color w:val="auto"/>
          <w:sz w:val="24"/>
        </w:rPr>
        <w:t xml:space="preserve"> </w:t>
      </w:r>
      <w:r w:rsidR="00F93744">
        <w:rPr>
          <w:rFonts w:ascii="Times New Roman" w:hAnsi="Times New Roman"/>
          <w:color w:val="auto"/>
          <w:sz w:val="24"/>
        </w:rPr>
        <w:t>ήτοι 300,00 €/μήνα (40 τ.μ.Χ7,50 €/</w:t>
      </w:r>
      <w:proofErr w:type="spellStart"/>
      <w:r w:rsidR="00F93744">
        <w:rPr>
          <w:rFonts w:ascii="Times New Roman" w:hAnsi="Times New Roman"/>
          <w:color w:val="auto"/>
          <w:sz w:val="24"/>
        </w:rPr>
        <w:t>τ.μ</w:t>
      </w:r>
      <w:proofErr w:type="spellEnd"/>
      <w:r w:rsidR="00F93744">
        <w:rPr>
          <w:rFonts w:ascii="Times New Roman" w:hAnsi="Times New Roman"/>
          <w:color w:val="auto"/>
          <w:sz w:val="24"/>
        </w:rPr>
        <w:t>. = 300,00 €)</w:t>
      </w:r>
      <w:r w:rsidR="00BC5D32">
        <w:rPr>
          <w:rFonts w:ascii="Times New Roman" w:hAnsi="Times New Roman"/>
          <w:color w:val="auto"/>
          <w:sz w:val="24"/>
        </w:rPr>
        <w:t>. Η αρμόδια επιτροπή πρότεινε την κατακύρωση της δημοπρασίας σε αυτήν.</w:t>
      </w:r>
    </w:p>
    <w:p w:rsidR="00BC5D32" w:rsidRDefault="00BC5D32" w:rsidP="00BC5D32">
      <w:pPr>
        <w:ind w:left="66"/>
        <w:jc w:val="both"/>
      </w:pPr>
    </w:p>
    <w:p w:rsidR="00BC5D32" w:rsidRPr="00BC5D32" w:rsidRDefault="00BC5D32" w:rsidP="00BC5D32">
      <w:pPr>
        <w:ind w:left="66"/>
        <w:jc w:val="both"/>
      </w:pPr>
      <w:r>
        <w:t xml:space="preserve">      Κατόπιν των ανωτέρω ο Πρόεδρος πρότεινε στα μέλη την αποδοχή της πρότασης της Επιτροπής και την κατακύρωση της δημοπρασίας στην κα </w:t>
      </w:r>
      <w:proofErr w:type="spellStart"/>
      <w:r>
        <w:t>Τσαγγάρη</w:t>
      </w:r>
      <w:proofErr w:type="spellEnd"/>
      <w:r>
        <w:t xml:space="preserve"> Χρυσή.</w:t>
      </w:r>
    </w:p>
    <w:p w:rsidR="00201EF9" w:rsidRPr="00A549E5" w:rsidRDefault="00841ACA" w:rsidP="00ED4D69">
      <w:pPr>
        <w:pStyle w:val="a3"/>
      </w:pPr>
      <w:r w:rsidRPr="00D75C3E">
        <w:t xml:space="preserve"> </w:t>
      </w:r>
      <w:r w:rsidR="00ED4D69">
        <w:t xml:space="preserve">       Ακολούθησε διαλογική συζήτηση κατά τη διάρκεια της οποίας διατυπώθηκαν διάφορες απόψεις επί του θέματος.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ζήτησε από τα μέλη να </w:t>
      </w:r>
      <w:r w:rsidR="00ED4D69">
        <w:t>ψηφίσουν</w:t>
      </w:r>
      <w:r w:rsidRPr="00A549E5">
        <w:t xml:space="preserve">.  </w:t>
      </w:r>
    </w:p>
    <w:p w:rsidR="00C8075B" w:rsidRPr="00294E62" w:rsidRDefault="00C8075B" w:rsidP="00D009CA">
      <w:pPr>
        <w:jc w:val="both"/>
        <w:rPr>
          <w:u w:val="single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 w:rsidR="002B3327">
        <w:t>Μαρκόγλου</w:t>
      </w:r>
      <w:proofErr w:type="spellEnd"/>
      <w:r w:rsidR="002B3327"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 w:rsidR="002B3327"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</w:t>
      </w:r>
      <w:r w:rsidR="002B3327">
        <w:t>.</w:t>
      </w:r>
      <w:r>
        <w:t xml:space="preserve"> </w:t>
      </w:r>
      <w:r w:rsidR="002B3327">
        <w:t xml:space="preserve"> </w:t>
      </w:r>
    </w:p>
    <w:p w:rsidR="00D009CA" w:rsidRPr="00477587" w:rsidRDefault="00D009CA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color w:val="FF0000"/>
          <w:spacing w:val="-3"/>
        </w:rPr>
        <w:t xml:space="preserve">  </w:t>
      </w: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ED4D6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ED4D6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Π.Δ. 270/81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 w:rsidRPr="00D75C3E">
        <w:t>αριθμ</w:t>
      </w:r>
      <w:proofErr w:type="spellEnd"/>
      <w:r w:rsidRPr="00D75C3E">
        <w:t>. 294/06-11-2013 απόφαση του Δ.Σ.</w:t>
      </w:r>
      <w:r>
        <w:t xml:space="preserve"> περί έγκρισης της μίσθωσης </w:t>
      </w:r>
    </w:p>
    <w:p w:rsidR="00ED4D69" w:rsidRPr="00FB09AC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</w:t>
      </w:r>
      <w:r w:rsidRPr="00D75C3E">
        <w:t xml:space="preserve">ην </w:t>
      </w:r>
      <w:proofErr w:type="spellStart"/>
      <w:r w:rsidRPr="00D75C3E">
        <w:t>αριθμ</w:t>
      </w:r>
      <w:proofErr w:type="spellEnd"/>
      <w:r w:rsidRPr="00D75C3E">
        <w:t>. 334/</w:t>
      </w:r>
      <w:r>
        <w:t>04-12-2013 απόφαση της Οικονομικής Επιτροπής περί έγκρισης των όρων διακήρυξης του μειοδοτικού διαγωνισμού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Την Α.Π.  48481/19-12-2013 διακήρυξη Δημάρχου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4D6E46">
        <w:t xml:space="preserve"> 463εξ./27-02-2014 </w:t>
      </w:r>
      <w:r>
        <w:t>έκθεση εκτίμησης της Επιτροπής του άρθρου 7 του Π.Δ. 270/81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Το Α.Π. </w:t>
      </w:r>
      <w:r w:rsidR="004D6E46">
        <w:t xml:space="preserve"> 14647/28-04-2014</w:t>
      </w:r>
      <w:r>
        <w:t xml:space="preserve"> Πρακτικό  φανερής μειοδοτικής δημοπρασίας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81094F" w:rsidRPr="008D0C72" w:rsidRDefault="0081094F" w:rsidP="00201EF9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Pr="002B3327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4D6E46" w:rsidRDefault="004D6E46" w:rsidP="004D6E46">
      <w:pPr>
        <w:ind w:left="360" w:hanging="360"/>
        <w:jc w:val="both"/>
      </w:pPr>
      <w:r>
        <w:t>Α.  Εγκρίνει το Α.Π.  14647/28-04-2014  Πρακτικό φανερής μειοδοτικής δημοπρασίας</w:t>
      </w:r>
    </w:p>
    <w:p w:rsidR="004D6E46" w:rsidRPr="00A52370" w:rsidRDefault="004D6E46" w:rsidP="004D6E46">
      <w:pPr>
        <w:ind w:left="360" w:hanging="360"/>
        <w:jc w:val="both"/>
      </w:pPr>
      <w:r>
        <w:t xml:space="preserve">Β.  </w:t>
      </w:r>
      <w:r w:rsidRPr="009C4122">
        <w:t>Κατακυρώνει</w:t>
      </w:r>
      <w:r>
        <w:t xml:space="preserve"> τη δημοπρασία</w:t>
      </w:r>
      <w:r w:rsidRPr="009C4122">
        <w:t xml:space="preserve"> </w:t>
      </w:r>
      <w:r>
        <w:t xml:space="preserve">  μίσθωσης  ακινήτου για τις ανάγκες στέγασης </w:t>
      </w:r>
      <w:r w:rsidRPr="00D75C3E">
        <w:t xml:space="preserve">των υπηρεσιών της Δημοτικής Κοινότητας </w:t>
      </w:r>
      <w:proofErr w:type="spellStart"/>
      <w:r w:rsidRPr="00D75C3E">
        <w:t>Αντιμάχειας</w:t>
      </w:r>
      <w:proofErr w:type="spellEnd"/>
      <w:r w:rsidR="00F72D80">
        <w:t>,</w:t>
      </w:r>
      <w:r>
        <w:t xml:space="preserve"> στην κα </w:t>
      </w:r>
      <w:proofErr w:type="spellStart"/>
      <w:r>
        <w:t>Τσαγγάρη</w:t>
      </w:r>
      <w:proofErr w:type="spellEnd"/>
      <w:r>
        <w:t xml:space="preserve"> Χρυσή</w:t>
      </w:r>
      <w:r w:rsidR="00F72D80">
        <w:t>, η οποία</w:t>
      </w:r>
      <w:r>
        <w:t xml:space="preserve"> προσέφερε το ποσό των  7,50  ευρώ/</w:t>
      </w:r>
      <w:proofErr w:type="spellStart"/>
      <w:r>
        <w:t>τ.μ</w:t>
      </w:r>
      <w:proofErr w:type="spellEnd"/>
      <w:r>
        <w:t>. μηνιαίως ήτοι 300,00 €/μήνα (40 τ.μ.Χ7,50 €/</w:t>
      </w:r>
      <w:proofErr w:type="spellStart"/>
      <w:r>
        <w:t>τ.μ</w:t>
      </w:r>
      <w:proofErr w:type="spellEnd"/>
      <w:r>
        <w:t xml:space="preserve">. = 300,00 €). </w:t>
      </w:r>
      <w:r w:rsidRPr="001A6C34">
        <w:t xml:space="preserve">Η διάρκεια της μίσθωσης θα είναι </w:t>
      </w:r>
      <w:r>
        <w:t xml:space="preserve"> για έξι (6) έτη από την υπογραφή του συμφωνητικού μίσθωσης με μονομερές δικαίωμα του Δήμου  παράτασης της για ένα (1) έτος, σε περίπτωση που αυτό κριθεί αναγκαίο. </w:t>
      </w:r>
    </w:p>
    <w:p w:rsidR="00201EF9" w:rsidRPr="005B4CED" w:rsidRDefault="004D6E46" w:rsidP="004D6E46">
      <w:pPr>
        <w:jc w:val="both"/>
      </w:pPr>
      <w:r>
        <w:t xml:space="preserve">Γ.  </w:t>
      </w:r>
      <w:r w:rsidRPr="009C4122">
        <w:t>Αναθέτει στο Δήμαρχο τις περαιτέρω ενέργ</w:t>
      </w:r>
      <w:r>
        <w:t xml:space="preserve">ειες, για υπογραφή της  </w:t>
      </w:r>
      <w:r w:rsidRPr="009C4122">
        <w:t>σύμβασ</w:t>
      </w:r>
      <w:r>
        <w:t>η</w:t>
      </w:r>
      <w:r w:rsidRPr="009C4122">
        <w:t>ς.</w:t>
      </w:r>
      <w:r>
        <w:t xml:space="preserve"> </w:t>
      </w:r>
      <w:r w:rsidR="00F07B18" w:rsidRPr="005B4CED">
        <w:t xml:space="preserve"> </w:t>
      </w:r>
    </w:p>
    <w:p w:rsidR="00201EF9" w:rsidRPr="00D9681B" w:rsidRDefault="00201EF9" w:rsidP="00201EF9">
      <w:pPr>
        <w:jc w:val="both"/>
      </w:pPr>
      <w:r w:rsidRPr="00D9681B">
        <w:t>………….…………………………………………………………………………………………….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Pr="008D0C72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81094F" w:rsidRPr="008D0C72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1E6D74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1E6D74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1E6D74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1C07FF" w:rsidRDefault="001C07FF"/>
    <w:sectPr w:rsidR="001C07FF" w:rsidSect="00DA2219">
      <w:headerReference w:type="default" r:id="rId9"/>
      <w:footerReference w:type="even" r:id="rId10"/>
      <w:footerReference w:type="default" r:id="rId11"/>
      <w:pgSz w:w="11906" w:h="16838"/>
      <w:pgMar w:top="1134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69" w:rsidRDefault="00ED4D69" w:rsidP="00201EF9">
      <w:r>
        <w:separator/>
      </w:r>
    </w:p>
  </w:endnote>
  <w:endnote w:type="continuationSeparator" w:id="0">
    <w:p w:rsidR="00ED4D69" w:rsidRDefault="00ED4D69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387754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4D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D69" w:rsidRDefault="00ED4D69" w:rsidP="001E6D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387754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4D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3B0">
      <w:rPr>
        <w:rStyle w:val="a8"/>
        <w:noProof/>
      </w:rPr>
      <w:t>1</w:t>
    </w:r>
    <w:r>
      <w:rPr>
        <w:rStyle w:val="a8"/>
      </w:rPr>
      <w:fldChar w:fldCharType="end"/>
    </w:r>
  </w:p>
  <w:p w:rsidR="00ED4D69" w:rsidRDefault="00ED4D69" w:rsidP="001E6D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69" w:rsidRDefault="00ED4D69" w:rsidP="00201EF9">
      <w:r>
        <w:separator/>
      </w:r>
    </w:p>
  </w:footnote>
  <w:footnote w:type="continuationSeparator" w:id="0">
    <w:p w:rsidR="00ED4D69" w:rsidRDefault="00ED4D69" w:rsidP="00201EF9">
      <w:r>
        <w:continuationSeparator/>
      </w:r>
    </w:p>
  </w:footnote>
  <w:footnote w:id="1">
    <w:p w:rsidR="00ED4D69" w:rsidRDefault="00ED4D69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ED4D69" w:rsidRPr="009C6CF5" w:rsidRDefault="00ED4D69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ED4D69" w:rsidP="001E6D74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97"/>
    <w:multiLevelType w:val="hybridMultilevel"/>
    <w:tmpl w:val="F0CEA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F16"/>
    <w:multiLevelType w:val="hybridMultilevel"/>
    <w:tmpl w:val="E5D83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79"/>
    <w:multiLevelType w:val="hybridMultilevel"/>
    <w:tmpl w:val="CBEE1DC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3463"/>
    <w:multiLevelType w:val="hybridMultilevel"/>
    <w:tmpl w:val="0576D304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52D74"/>
    <w:multiLevelType w:val="hybridMultilevel"/>
    <w:tmpl w:val="FD66BD1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9355776"/>
    <w:multiLevelType w:val="hybridMultilevel"/>
    <w:tmpl w:val="2178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81D87"/>
    <w:multiLevelType w:val="hybridMultilevel"/>
    <w:tmpl w:val="F1329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504006"/>
    <w:multiLevelType w:val="hybridMultilevel"/>
    <w:tmpl w:val="AC280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67540"/>
    <w:rsid w:val="00077813"/>
    <w:rsid w:val="001C07FF"/>
    <w:rsid w:val="001C6524"/>
    <w:rsid w:val="001E6D74"/>
    <w:rsid w:val="00201EF9"/>
    <w:rsid w:val="00231882"/>
    <w:rsid w:val="002B3327"/>
    <w:rsid w:val="002E2976"/>
    <w:rsid w:val="00387754"/>
    <w:rsid w:val="003A15C9"/>
    <w:rsid w:val="003E0F91"/>
    <w:rsid w:val="003F0931"/>
    <w:rsid w:val="00477587"/>
    <w:rsid w:val="00485AB5"/>
    <w:rsid w:val="004C0315"/>
    <w:rsid w:val="004D6E46"/>
    <w:rsid w:val="004F6BCC"/>
    <w:rsid w:val="0052599F"/>
    <w:rsid w:val="00543C8D"/>
    <w:rsid w:val="005506D7"/>
    <w:rsid w:val="00565228"/>
    <w:rsid w:val="00565FA4"/>
    <w:rsid w:val="005B4CED"/>
    <w:rsid w:val="0060688D"/>
    <w:rsid w:val="006206E7"/>
    <w:rsid w:val="00651ED3"/>
    <w:rsid w:val="006660A5"/>
    <w:rsid w:val="006718C2"/>
    <w:rsid w:val="007C73B0"/>
    <w:rsid w:val="007E370A"/>
    <w:rsid w:val="007E40E8"/>
    <w:rsid w:val="0081094F"/>
    <w:rsid w:val="00841ACA"/>
    <w:rsid w:val="008835E7"/>
    <w:rsid w:val="008D0C72"/>
    <w:rsid w:val="008E1F9D"/>
    <w:rsid w:val="008E3E2B"/>
    <w:rsid w:val="00987936"/>
    <w:rsid w:val="009B6831"/>
    <w:rsid w:val="00A13995"/>
    <w:rsid w:val="00A14FC2"/>
    <w:rsid w:val="00A549E5"/>
    <w:rsid w:val="00AC4396"/>
    <w:rsid w:val="00B240FA"/>
    <w:rsid w:val="00B513BC"/>
    <w:rsid w:val="00B801BB"/>
    <w:rsid w:val="00B85031"/>
    <w:rsid w:val="00BC1C18"/>
    <w:rsid w:val="00BC5D32"/>
    <w:rsid w:val="00C02ECF"/>
    <w:rsid w:val="00C12D20"/>
    <w:rsid w:val="00C457CB"/>
    <w:rsid w:val="00C550EA"/>
    <w:rsid w:val="00C8075B"/>
    <w:rsid w:val="00C83566"/>
    <w:rsid w:val="00CF1D4C"/>
    <w:rsid w:val="00D009CA"/>
    <w:rsid w:val="00D144BE"/>
    <w:rsid w:val="00D75C3E"/>
    <w:rsid w:val="00D9681B"/>
    <w:rsid w:val="00DA2219"/>
    <w:rsid w:val="00DD3196"/>
    <w:rsid w:val="00E341D7"/>
    <w:rsid w:val="00E86A31"/>
    <w:rsid w:val="00EA160A"/>
    <w:rsid w:val="00ED4D69"/>
    <w:rsid w:val="00F03A3D"/>
    <w:rsid w:val="00F03A7A"/>
    <w:rsid w:val="00F07B18"/>
    <w:rsid w:val="00F51072"/>
    <w:rsid w:val="00F5143E"/>
    <w:rsid w:val="00F5677C"/>
    <w:rsid w:val="00F72D80"/>
    <w:rsid w:val="00F93744"/>
    <w:rsid w:val="00FC2D3E"/>
    <w:rsid w:val="00FE3183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paragraph" w:styleId="8">
    <w:name w:val="heading 8"/>
    <w:basedOn w:val="a"/>
    <w:next w:val="a"/>
    <w:link w:val="8Char"/>
    <w:qFormat/>
    <w:rsid w:val="00B850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8Char">
    <w:name w:val="Επικεφαλίδα 8 Char"/>
    <w:basedOn w:val="a0"/>
    <w:link w:val="8"/>
    <w:rsid w:val="00B8503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3C3B59-56A3-474D-BF9E-E19C282AAA0B}"/>
</file>

<file path=customXml/itemProps2.xml><?xml version="1.0" encoding="utf-8"?>
<ds:datastoreItem xmlns:ds="http://schemas.openxmlformats.org/officeDocument/2006/customXml" ds:itemID="{0F6A0965-CF16-432F-A463-F9595A92900B}"/>
</file>

<file path=customXml/itemProps3.xml><?xml version="1.0" encoding="utf-8"?>
<ds:datastoreItem xmlns:ds="http://schemas.openxmlformats.org/officeDocument/2006/customXml" ds:itemID="{5BF67465-FB49-4406-BAB1-BDB3A9D99D31}"/>
</file>

<file path=customXml/itemProps4.xml><?xml version="1.0" encoding="utf-8"?>
<ds:datastoreItem xmlns:ds="http://schemas.openxmlformats.org/officeDocument/2006/customXml" ds:itemID="{A1FA0D65-7956-4014-A3FA-995D27012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21</cp:revision>
  <cp:lastPrinted>2014-05-06T11:19:00Z</cp:lastPrinted>
  <dcterms:created xsi:type="dcterms:W3CDTF">2014-05-09T05:42:00Z</dcterms:created>
  <dcterms:modified xsi:type="dcterms:W3CDTF">2014-05-09T06:58:00Z</dcterms:modified>
</cp:coreProperties>
</file>